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«БКС Банк» (далее – банк) обратилось в суд с заявлением о привлечении к субсидиарной ответственности Денисова И.В. по обязательствам должника. Определением Арбитражного суда Калининградской области от 02.09.2020 в удовлетворении заявления отказано. Постановлением Тринадцатого арбитражного апелляционного суда от 26.11.2020, оставленным без изменения постановлением Арбитражного суда Северо-Западного округа от 30.04.2021,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апелляционной инстанции и округа руководствовались статьями 61.11, 129 Федерального закона от 26.10.2002 № 127-ФЗ «О несостоятельности (банкротстве)», пунктами 3,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установили наличие оснований для привлечения к субсидиарной ответственности заявителя, не передавшего конкурсному управляющему бухгалтерскую и иную документацию по финансово-хозяйственной деятельности должника, что воспрепятствовало определению активов и их идентификации, выявлению сделок на предмет рассмотрения вопроса о необходимости и целесообразности оспаривания последних, существенным образом затруднило формирование конкурсной массы.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Денисову Игорю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