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общество «Ракетно-космический центр «Прогресс» (далее – общество) обратилось в суд с заявлением о включении в реестр требований кредиторов должника (далее – реестр) в состав требований кредиторов третьей очереди задолженности в размере 64 381 рубль 38 копеек. Определением Арбитражного суда Самарской области от 04.12.2020, оставленным без изменения постановлениями Одиннадцатого арбитражного апелляционного суда от 24.02.2021 и Арбитражного суда Поволжского округа от 27.05.2021, заявление удовлетворено в части включения в реестр в составе требований кредиторов третьей очереди 54 808 рублей 99 копеек основной задолженности и 8 808 рублей 99 копеек неустойки; производство по заявлению в части включения в реестр 763 рублей 40 копеек расходов по уплате государственной пошлины прекращено. В кассационной жалобе, поданной в Верховный Суд Российской Федерации, заявитель просит полностью отменить названные судебные акты и направить дело на новое рассмотрение в Арбитражный суд Самарской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статьёй 313 Гражданского кодекса Российской Федерации, статьями 5, 71, 100, 142 Федерального закона от 26.10.2002 № 127-ФЗ «О несостоятельности (банкротстве)», пунктом 28 Обзора судебной практики по вопросам, связанным с участием уполномоченных органов в делах о банкротстве и применяемых в этих делах процедурах банкротства, утвержденного Президиумом Верховного Суда Российской Федерации от 20.12.2016, исходили из того, что требование общества в части основного долга и неустойки подтверждено документально, заявлено в установленный законом срок и не исполнено должником, в связи с чем включили его в реестр, прекратив производство в остальной части требования как текущего платежа. Отклоняя доводы о погашении требований общества генеральным директором должника Янкиным Андреем Викторовичем, суды исходили из того, что оно произведено третьим лицом со злоупотреблением правом и вне установленного законом порядка.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Давыдову Юрию Алексеевичу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