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Стешенцев Павел Сергеевич обратился в суд с заявлением о признании недействительной сделкой соглашения о зачёте встречных требований от 30.12.2016, заключенного между должником и Бальоном В.В.; применении последствий её недействительности. Определением Арбитражного суда города Москвы от 10.09.2020, оставленным без изменения постановлениями Девятого арбитражного апелляционного суда от 08.12.2020 и Арбитражного суда Московского округа от 19.04.2021,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19, 61.3, 61.6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установили совокупность условий для признания недействительной оспариваемой преференциальной сделки неплатёжеспособного должника и его бывшего руководителя по основанию оказания последнему предпочтения.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Бальону Владимиру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