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Куранов Алексей Игоревич обратился в суд с заявлением о привлечении Лупиноса Владимира Алексеевича и Бородина Павла Николаевича солидарно к субсидиарной ответственности по обязательствам должника в размере 103 931 745 рублей 99 копеек. Определением Арбитражного суда Московской области от 28.09.2020 в удовлетворении заявления отказано. Постановлением Десятого арбитражного апелляционного суда от 28.01.2021, оставленным без изменения постановлением Арбитражного суда Московского округа от 26.04.2021, данное определение изменено; с Лупиноса В.А. в пользу должника взыскано 1 981 000 рублей. В остальной части определение суда первой инстанции от 28.09.2020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10, 15, 53.1, 393 Гражданского кодекса Российской Федерации, пунктом 20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того, что действия заявителя (бывшего генерального директора) не явились причиной банкротства должника, однако причинили последнему убытки в результате совершения сделок по отчуждению имущества (автомобилей), впоследствии признанных недействительными.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Лупиносу Владимиру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