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«Спецтранс» обратилось в Арбитражный суд города Москвы с иском к обществу с ограниченной ответственностью «Чистый сервис» о снижении размера неустойки, начисленной на сумму долга по договору от 19.11.2019 № 99/19-МСК, с 41 310 697 рублей 46 копеек до 1 485 379 рублей 18 копеек. Решением Арбитражного суда города Москвы от 10.02.2021 в удовлетворении иска отказано. Постановлением Девятого арбитражного апелляционного суда от 02.04.2021 решение суда первой инстанции оставлено без изменения. Арбитражный суд Московского округа постановлением от 16.06.2021 указанные судебные акты оставил без изменения. Общество с ограниченной ответственностью «Спецтранс» обратилось в Судебную коллегию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иска, суды исходили из того, что вопрос о соразмерности неустойки последствиям нарушения обязательства был предметом рассмотрения судов в рамках дела № А40-65169/20, по которому размер подлежащей взысканию неустойки был уменьшен на основании статьи 333 Гражданского кодекса Российской Федерации, в связи с чем обращение истца с настоящим иском направлено на пересмотр вступившего в законную силу судебного акта по вышеуказанному делу.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«Спецтранс»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