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10.11.2020, оставленным без изменения постановлениями Восьмого арбитражного апелляционного суда от 09.02.2021 и Арбитражного суда Западно-Сибирского округа от 21.05.2021, в удовлетворении заявленных требований отказано. 2 В кассационной жалобе общество ставит вопрос об отмене принятых по делу судебных актов,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предпринимателя на действия общества (заказчик) при проведении конкурса в электронной форме, выразившиеся в установлении в документации о закупке необоснованных и избыточных требований к участникам закупки, антимонопольным органом принято решение. Управлением жалоба предпринимателя признана частично обоснованной, в действиях общества установлены нарушения части 1 статьи 2, пункта 2 части 1 статьи 3, части 6 статьи 3, пунктов 2, 9, 13, 14 части 10 статьи 4 Федерального закона от 18.07.2011 № 223-ФЗ «О закупках товаров, работ, услуг отдельными видами юридических лиц» (далее – Закон о закупках). В целях устранения допущенных нарушений антимонопольным органом выдано обязательное к исполнению предписание. Не согласившись с ненормативными правовыми актами управления, общество обратилось в арбитражный суд. Исследовав и оценив представленные в материалы дела доказательства, руководствуясь положениями Закона о закупках, суды пришли к выводу о законности решения и предписания антимонопольного органа. Судебные инстанции исходили из того, что установленные в конкурсной документации спорные требования не влияют на возможность выполнения предусмотренных работ, являются избыточными и необоснованно ограничивают круг участников. 3 При этом суды учли, что спорный конкурс проводился среди субъектов малого и среднего предпринимательства, а также приняли во внимание характер работ, предусмотренных конкурсной документацией. Доводы, изложенные в кассационной жалобе, повторяют позицию общества по спору, являлись предметом рассмотрения судов и не опровергают их выводы, сделанные на основании правильного применения норм права к установленным обстоятельствам дела. Приведенные в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«Россети Тюмень»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