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указанной кассационной жалобой, одновременно заявив ходатайство о восстановлении срока ее подачи. Рассмотрев ходатайство, оценив изложенные в нем доводы, судья находит его подлежащим удовлетворению. Руководствуясь статьями 117, 184, 291.2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Малыгиной Тамары Михайловны удовлетворить. Срок подачи кассационной жалобы на определение Арбитражного суда Свердловской области от 10.12.2020 по делу № А60-39474/2018 и постановление Арбитражного суда Уральского округа от 16.06.2021 по тому же делу восстановить.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