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22.10.2020 в удовлетворении заявленных требований отказано, с общества в пользу Денисовой В.П. взыскано 35 000 рублей судебных расходов, в удовлетворении 2 остальной части заявленных требований о взыскании судебных расходов отказано. Постановлением Пятнадцатого арбитражного апелляционного суда от 28.01.2021 решение суда первой инстанции оставлено без изменения, в удовлетворении заявлений общества и Денисовой В.П. о взыскании судебных расходов отказано. Постановлением Арбитражного суда Северо-Кавказского округа от 19.05.2021 указанные судебные акты отменены в части взыскания с общества в пользу Денисовой В.П. 35 000 рублей судебных расходов, в указанной части дело направлено на новое рассмотрение в суд первой инстанции, в остальной части судебные акты оставлены без изменения. В кассационной жалобе общество просит принятые по делу судебные акты в части отказа в удовлетворении требований о признании незаконным постановления о привлечении к административной ответственности отменить, считая их незаконными и необоснованными в указанной части.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Исходя из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3 Как следует из судебных актов, основанием для привлечения к ответственности послужил выявленный административным органом факт необоснованного отказа во включении предложенных вопросов в повестку дня общего собрания акционеров общества. Частью 1 статьи 15.23.1 Кодекса Российской Федерации об административных правонарушениях предусмотрена административная ответственность за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исполнительного органа акционерного обществаиное нарушение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частями 1 - 11 настоящей статьи, статьями 13.25, 15.18 - 15.20, 15.22, 15.23.1, 15.24.1, 15.30 и 19.7.3 настоящего Кодекса. Оценив представленные доказательства, руководствуясь положением статей 47, 48, 53, 55, 68 Федерального закона от 26.12.1995 № 208-ФЗ «Об акционерных обществах», суды пришли к выводу о наличии в действиях общества состава правонарушения, ответственность за которое предусмотрена 4 частью 1 статьи 15.23.1 Кодекса Российской Федерации об административных правонарушениях. При этом суды исходили из того, что общество имело возможность не допустить правонарушение, однако не предприняло всех зависящих от него мер, направленных на соблюдение установленных требований. Доказательств наличия объективных причин, препятствовавших своевременному внесению предложения акционера в повестку дня общего собрания акционеров, не представлено и судами таких обстоятельств не установлено. Нарушений процедуры проведения проверки и привлечения общества к административной ответственности суд не установил. Штраф назначен в минимальном размере санкции нормы. Доводы, изложенные в кассационной жалобе, являлись предметом рассмотрения судов и им дана исчерпывающая правовая оценка,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