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15.12.2020, оставленным без изменения постановлением Шестого арбитражного апелляционного суда от 25.02.2021, в иске отказано. Постановлением Арбитражного суда Дальневосточного округа от 04.06.2021 указанные судебные акты оставлены без изменения. Общество обратилось в Верховный Суд Российской Федерации с кассационной жалобой, считая состоявшиеся по делу судебные акты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309 , 310 , 166 , 168 , 450.1 , 763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иске, не установив оснований для признания оспариваемого контракта недействительным и применения последствий его недействительности. Доводы жалобы были предметом исследования судов и получили исчерпывающую правовую оценку, в том числе, с учетом правовой позиции, изложенной в пункте 89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Федерации». Оснований для отмены судебных актов по правилам частей 3, 4 статьи 270 , частей 3, 4 статьи 288 Арбитражного процессуального кодекса Российской Федерации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"Центр Безопасности"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Хабаровскому краю и Еврейской автономной области" (подробнее) Судьи дела: Першутов А.Г.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