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21.10.2020, оставленным без изменения постановлением Семнадцатого арбитражного апелляционного суда от 26.01.2021, в удовлетворении требований отказано. 2 Постановлением Арбитражного суда Уральского округа от 27.05.2021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удовлетворения жалобы.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требований, признав наличие недобросовестных действий страхователя, направленных на формальное создание условий для получения средств для возмещения выплаты пособия по обязательному социальному страхованию на случай временной нетрудоспособности и в связи с материнством.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3 Федерации не может являться основанием для отмены оспариваемых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