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04.12.2020 первоначальный иск удовлетворен частично, взыскана неустойка в сумме 117 995,06 рублей, в удовлетворении иска в остальной части отказано, встречный иск удовлетворен частично, взыскано 11 069 497,17 рублей, произведен зачет встречных требований. Постановлением Девятого арбитражного апелляционного суда от 02.03.2021 решение суда первой инстанции изменено, первоначальный иск удовлетворен, в удовлетворении встречного иска отказано. Постановлением Арбитражного суда Московского округа от 01.07.2021 решение суда первой инстанции в неизмененной части и постановление апелляционного суда оставлены без изменения. Общество обратилось в Верховный Суд Российской Федерации с кассационной жалобой, в которой просит постановления апелляционного суда и суда округа отменить, решение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удовлетворения жалобы не установлено. Руководствуясь положениями статей 309 , 310 , 330 , 401 , 702 , 709 , 715 , 716 , 718 , 720 , 743 , 746 , 763 , 1102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апелляционный суд изменил решение суда первой инстанции, первоначальный иск удовлетворил, в удовлетворении встречного иска отказал, признав отсутствие доказательств выполнения и передачи работ до истечения срока действия контрактов, а также их потребительской ценности для заказчика. Суд округа согласился с вводами апелляционного суда. Доводы жалобы были предметом исследования судов и получили исчерпывающую правовую оценку с учетом установленных обстоятельств, свидетельствующих о невозможности использования полученной документации,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ГОСУДАРСТВЕННОЕ БЮДЖЕТНОЕ УЧРЕЖДЕНИЕ ГОРОДА МОСКВЫ "ЖИЛИЩНИК РАЙОНА ИЗМАЙЛОВО" (подробнее) Ответчики: ООО "ДЖИЭМПРОЕКТ" (подробнее) Судьи дела: Першутов А.Г.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