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Толокнова Т.В. обратилась в суд с заявлением о намерении погасить включённые в реестр требования инспекции Федеральной налоговой службы России № 43 по городу Москве (далее – уполномоченный орган), правопреемстве уполномоченного органа на себя. Определением Арбитражного суда города Москвы от 02.10.2020, оставленным без изменения постановлениями Девятого арбитражного апелляционного суда от 24.12.2020 и Арбитражного суда Московского округа от 28.04.2021, требования уполномоченного органа к должнику признаны погашенными, в правопреемстве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12.08.2021 от конкурсного управляющего должником Климентова Ивана Сергеевича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конкурсного управляющего должником Климентова И.С. таких оснований не установлено. Разрешая спор, суды, руководствуясь статьями 19, 112.1, 113, 129.1 Федерального закона от 26.10.2002 № 127-ФЗ «О несостоятельности (банкротстве)», исходили из доказанности погашения заявителем задолженности перед уполномоченным органом, однако признали подобные действия направленными на возмещение ранее причиненных ею как контролирующим должника лицом убытков, в связи с чем отказали в правопреемстве.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Толокновой Татьяне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