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08.10.2020 исковое заявление удовлетворено. Постановлением Десятого арбитражного апелляционного суда от 03.12.2020, оставленным без изменения постановлением Арбитражного суда Московского округа от 23.03.2021, решение суда первой инстанции отменено, в удовлетворении иска отказано. Не согласившись с судебными актами судов апелляционной инстанции и округа, общество обратилось в Верховный Суд Российской Федерации с кассационной жалобой, в которой просит их отменить,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по материалам истребованного дела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исковые требования мотивированы наличием задолженности за выполненные дополнительные работы для учреждения в период с 27.10.2017 по 30.04.2020 на общую сумму 59 046 979 рублей 82 копейки, необходимость выполнения которых была подтверждена соответствующей исполнительной и рабочей документацией к государственному контракту от 17.07.2017 № Ф2017.286425. Удовлетворяя заявленные требования, суд первой инстанции исходил из доказанности согласования заказчиком дополнительных работ и их необходимости, обоснования невозможности исполнения контракта в отсутствие спорных работ, и неисполнения ответчиком обязательств по оплате дополнительных работ. Расчет процентов за пользование чужими денежными средствами, представленный истцом, судом проверен и признан верным, ходатайство ответчика о снижении размера процентов за пользование чужими денежными средствами в порядке статьи 333 Гражданского кодекса Российской Федерации отклонено. Отменяя решение суда, суд апелляционной инстанции, руководствуясь положениями статьи 421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учитывая правовую позицию, изложенную в Обзоре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утвержденном Президиумом Верховного Суда Российской Федерации 28.06.2017, Обзоре судебной практики Верховного Суда Российской Федерации № 3 (2017), утвержденном Президиумом Верховного Суда Российской Федерации 12.07.2017, пришел к выводу об отсутствии оснований для удовлетворения заявленных требований. Суд апелляционной инстанции исходил из того, что в отсутствие контракта, заключенного с соблюдением требований Закона о контрактной системе, фактическое выполнение истцом работ на объектах учреждения не может влечь возникновения на стороне ответчика неосновательного обогащения; безотлагательность какого-либо вида работ, из указанных истцом в качестве дополнительных, не установлена, также не подтверждена необходимость незамедлительного выполнения работ; оплата работ, выполненных по контракту, предполагала бюджетное финансирование, в связи с чем произвольное изменение цены контракта являлось недопустимым. Учитывая установленные обстоятельства, суд апелляционной инстанции пришел к выводу, что выполнение дополнительных работ ответчиком не было согласовано и поэтому они не подлежат оплате. Суд округа поддержал выводу суда апелляционной инстанции. Доводы общества относительно доказательственной базы подлежат отклонению, поскольку вопрос относимости, допустимости, достоверности и полноты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Указанные доводы являлись предметом рассмотрения судов апелляционной инстанции и округа, не подтверждают существенных нарушений ими норм материального и/или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«Сибагропромстрой»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"СИБАГРОПРОМСТРОЙ" (подробнее) Ответчики: ГКУ Московской области "Дирекция дорожного строительства" (подробнее) Судьи дела: Антонова М.К.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