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20.01.2020 произведена замена Дьяченко М.И. на ее правопреемника - общество. Решением суда первой инстанции от 21.10.2020, оставленным без изменения постановлениями Двенадцатого арбитражного апелляционного суда от 19.02.2021 и Арбитражного суда Поволжского округа от 19.05.2021, исковое заявление удовлетворено, с АО «СОГАЗ» в пользу общества взыскано 724 091 рубль 17 копеек страхового возмещения, 13 600 рублей расходов по вывозу ЖБО, 12 994 рубля расходов по замене платы стоматологической установки, 40 000 рублей расходов по оплате услуг независимого оценщика по определению величины ущерба. В кассационной жалобе, поданной в Верховный Суд Российской Федерации, АО «СОГАЗ»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результате засора колодца дворовой канализации произошло затопление арендованного обществом помещения, в связи с чем заявителю причинен ущерб. Указывая на то, что страховая выплата, произведенная АО «СОГАЗ» (страховщик), не покрывала размера причиненного ущерба от затопления, общество (страхователь, выгодоприобретатель) и Дьяченко М.И. (выгодоприобретатель) обратились в арбитражный суд. Исследовав и оценив представленные в материалы дела доказательства, в том числе результаты судебных экспертиз, руководствуясь положениями статей 309, 310, 929 Гражданского кодекса Российской Федерации, пункта 2 статьи 9 Закона Российской Федерации от 27.11.1992 № 4015-1 «Об организации страхового дела в Российской Федерации», Правилами 3 страхования имущества юридических и физических лиц от огня и других опасностей, утвержденными страховщиком 11.11.2014, договором страхования от 26.12.2017 № 0117РТ 0325, суды пришли к выводу о наличии оснований для удовлетворения иска. При этом судебные инстанции исходили из отсутствия у страховщика оснований для невыплаты страхового возмещения. Вопреки возражениям АО «СОГАЗ», расчет размера страхового возмещения проверен судами и определен за вычетом выплат, произведенных страховщиком в досудебном порядке. Доводы, изложенные в кассационной жалобе, повторяют позицию АО «СОГАЗ» по спору,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«Страховое общество газовой промышленности»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