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10.09.2020, оставленным без изменения постановлением Седьмого арбитражного апелляционного суда от 19.01.2021, иск удовлетворен. Постановлением Арбитражного суда Западно-Сибирского округа от 05.05.2021 указанные судебные акты оставлены без изменения. Ответчик просит отменить принятые по делу судебные акты, в удовлетворении требований отказать.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409, 929, 1005 Гражданского кодекса Российской Федерации, статей 18, 19 Федерального закона от 25.04.2002 № 40-ФЗ «Об обязательном страховании гражданской ответственности владельцев транспортных средств», разъяснениями, изложенными в пунктах 36, 70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пункте 10 Обзора 3 практики рассмотрения судами дел, связанных с обязательным страхованием гражданской ответственности владельцев транспортных средств, утвержденного Президиумом Верховного Суда Российской Федерации 22.06.2016, суды удовлетворили иск, признав в рассматриваемом случае ответчика лицом, обязанным осуществить компенсационную выплату, и установив, что заявленные расходы необходимы для реализации потерпевшим права на получение страхового возмещения, тогда как Законом об ОСАГО не предусмотрены ограничения уступки права требования. Доводы жалобы были предметом исследования судов и получили исчерпывающую правовую оценку с учетом конкретных установленных обстоятельств,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