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28.08.2020, оставленным без изменения постановлением Девятого арбитражного апелляционного суда от 21.12.2020, первоначальный иск удовлетворен частично, с предприятия в пользу министерства взыскана неустойка в размере 1 299 133,35 рублей, в удовлетворении остальной части первоначального иска отказано; встречный иск удовлетворен частично, с министерства в пользу предприятия взыскано неосновательное обогащение в размере 797 499,99 рублей, проценты в размере 29 521,54 рублей, неустойка в размере 322 000 рублей, в удовлетворении остальной части встречного иска отказано; в результате зачета требований с предприятия в пользу министерства взысканы денежные средства в размере 125 621,82 рублей. Постановлением Арбитражного суда Московского округа от 05.05.2021 указанные судебные акты оставлены без изменения. Предприятие просит отменить обжалуемые судебные акты в части взыскания с него неустойки в размере 1 299 133, 35 рублей и в части отказа в удовлетворении его требований о взыскании с министерства процентов за пользование чужими денежными средствами в размере 88 200, 23 рублей, направить дело на новое рассмотрение в суд первой инстанции в указанной части.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3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 Оценив представленные доказательства, руководствуясь положениями статей 309, 310, 330, 395, 1107 Гражданского кодекса Российской Федерации, статей 34, 95 Федерального закона от 05.04.2013 № 44-ФЗ «О контрактной системе в сфере закупок товаров, работ, услуг для обеспечения государственных и муниципальных нужд», суды удовлетворили первоначальный и встречный иски частично, признав доказанным факт ненадлежащего исполнения обязательств предприятием, и произведя перерасчет суммы неустойки от стоимости каждого этапа работ, а также установив, что у министерства возникло неосновательное обогащение в размере 797 499,99 рублей, и определив начало периода начисления процентов за пользование чужими денежными средствами. Доводы жалобы повторяют позицию предприятия по делу, являлись предметом рассмотрения судов и получили исчерпывающую правовую оценку исходя из установленных обстоятельств и представленных доказательств,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