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27.11.2020, оставленным без изменения постановлением Десятого арбитражного апелляционного суда от 04.03.2021, иск удовлетворен. Постановлением Арбитражного суда Московского округа от 26.05.2021 указанные судебные акты оставлены без изменения. В кассационной жалобе, поступившей в Верховный Суд Российской Федерации, комитет просит отменить состоявшиеся по делу судебные акты, 2 считая их принятыми с нарушением норм материального и процессуального права.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Руководствуясь статьями 15, 1069, 1071 Гражданского кодекса Российской Федерации, разъяснениями, изложенными в пункте 26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суды удовлетворили иск, признав требования обоснованными, подтвержденными документально и ответчиком не опровергнутыми. Доводы, изложенные в кассационной жалобе, являлись предметом рассмотрения судов, им дана исчерпывающая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