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23.11.2020, оставленным без изменения постановлением Четвертого арбитражного апелляционного суда от 11.03.2021, иск удовлетворен частично, с администрации в пользу общества взыскано 5 552 727 рублей, в остальной части требований отказано. 2 Постановлением Арбитражного суда Восточно-Сибирского округа от 17.06.2021 указанные судебные акты оставлены без изменения. В кассационной жалобе, поступившей в Верховный Суд Российской Федерации, администрация просит отменить состоявшиеся по делу судебные акты, считая их незаконными и необоснованными.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 и принятых по делу судебных актов,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166, 167, 740, 1103 Гражданского кодекса Российской Федерации, статьи 6, 8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удовлетворили иск частично, обязав возвратить исполненное по недействительной сделке. Доводы, изложенные в кассационной жалобе, являлись предметом рассмотрения судов, им дана исчерпывающая правовая оценка в обжалуемых судебных актах в отсутствие доказательств недобросовестного поведения общества, не согласиться с которой оснований не имеется. 3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