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30.11.2020, оставленным без изменения постановлением Седьмого арбитражного апелляционного суда от 12.02.2021 и постановлением Арбитражного суда Западно-Сибирского округа от 04.05.2021, заявление финансового управляющего должника о признании недействительными договора займа от 23.08.2017 и договора залога транспортного средства от 23.08.2017, заключенных между Хомяковой О.В. и Грюнвальд О.В., удовлетворено: договоры признаны недействительными, применены последствия недействительности сделок в виде взыскания с Грюнвальд О.В. в конкурсную массу должника 1 900 000 рублей. В кассационной жалобе Хомякова О.В. просит о пересмотре судебных актов, ссылаясь на неистребование доказательств платежеспособности заимодавца.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договоров в ситуации наличия у должника неисполненных обязательств и в отсутствие доказательств реального исполнения, создающих в силу пункта 2 статьи 61.2 Федерального закона от 26.10.2002 № 127ФЗ «О несостоятельности (банкротстве)», статей 10, 168, 170 Гражданского кодекса Российской Федерации условия для их недействительности в процедуре банкротства. Доводы кассационной жалобы не подтверждают нарушения норм права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Хомяковой Ольге Витальевне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