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02.11.2020, оставленным без изменения постановлением Девятого арбитражного апелляционного суда от 23.12.2020, в удовлетворении заявленного требования отказано. Постановлением Арбитражного суда Московского округа от 28.04.2021 указанные судебные акты оставлены без изменения. Не согласившись с названными судебными актами, общество обратилось в Верховный Суд Российской Федерации с кассационной жалобой, в которой просит их отменить, считая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Как следует из судебных актов, основанием для привлечения к ответственности послужил выявленный инспекцией факт осуществления обществом операций, расчеты по которым произведены, минуя счета в уполномоченных банках.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3 состава правонарушения, ответственность за совершение которого предусмотрена частью 1 статьи 15.25 Кодекса Российской Федерации об административных правонарушениях. Суды установили, что процедура привлечения к административной ответственности не нарушена, срок давности привлечения к ответственности соблюден, размер назначенного штрафа соответствует санкции нормы, оснований для применения положений статьи 2.9 Кодекса Российской Федерации об административных правонарушениях о малозначительности правонарушения не имеется. Несогласие заявителя с толкованием судебными инстанциями норм законодательства, подлежащих применению к спорным правоотношениям,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само по себе не является основанием для пересмотра обжалуемых судебных актов в кассационном порядке. Обстоятельств, свидетельствующих, что состав (событие) вмененного правонарушения соответствует условиям примечания 7 статьи 15.25 Кодекса Российской Федерации об административных правонарушениях, судами не установлено. В жалобе указанные выводы судов не опровергнуты.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