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19.10.2020, оставленным без изменения постановлением Девятого арбитражного апелляционного суда от 29.01.2021, общество привлечено к административной ответственности, предусмотренной частью 1 статьи 14.10 Кодекса Российской Федерации об административных правонарушениях и ему назначено наказание в виде штрафа в размере 55 000 рублей, изъятая продукция направлена на уничтожение. 2 Постановлением Суда по интеллектуальным правам от 29.04.2021 указанные судебные акты оставлены без изменения. Общество просит обжалуемые судебные акты отменить,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незаконного использования обществом чужого товарного знака..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настоящей статьи. Оценив представленные доказательства, руководствуясь положениями статей 1229, 1484 Гражданского кодекса Российской Федерации, 3 разъяснениями, суды пришли к выводу о наличии в действиях общества состава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правонарушениях.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Доводы жалобы повторяют позицию общества по делу, изложенную в нижестоящих судах, направлены на переоценку доказательств и установление иных фактических обстоятельств дела, в том числе, относительно обстоятельств сходства обозначения, используемого обществом на товаре с чужим товарным знаком, а также надлежащего извещения общества в суде первой инстанции,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