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Алтай от 22.09.2020, оставленным без изменения постановлением Седьмого арбитражного 2 апелляционного суда от 14.01.2021, в удовлетворении заявленных требований отказано. Постановлением Арбитражного суда Западно-Сибирского округа от 28.04.2021 указанные судебные акты оставлены без изменения. Общество просит обжалуемые судебные акты отменить,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9.21 Кодекса Российской Федерации об административных правонарушениях установлена административная ответственность за нарушение субъектом естественной монополии правил (порядка обеспечения) недискриминационного доступа или установленного порядка подключения (технологического присоединения) к магистральным нефтепроводам и (или) магистральным нефтепродуктопроводам, электрическим сетям, тепловым сетям, газораспределительным сетям или централизованным системам горячего водоснабжения, холодного водоснабжения и водоотведения, либо нарушение собственником или иным законным владельцем объекта электросетевого хозяйства правил 3 недискриминационного доступа к услугам по передаче электрической энергии, либо препятствование собственником или иным законным владельцем водопроводных и (или) канализационных сетей транспортировке воды по их водопроводным сетям и (или) транспортировке сточных вод по их канализационным сетям. Повторное совершение юридическим лицом правонарушения, предусмотренного частью 1 названной статьи, влечет наложение на него административного штрафа в размере от 600 000 рублей до 1 000 000 рублей (часть 2 статьи 9.21 Кодекса Российской Федерации об административных правонарушениях). Оценив представленные доказательства, руководствуясь положениями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№ 861, суды пришли к выводу о наличии в действиях общества состава правонарушения, предусмотренного частью 2 статьи 9.21 Кодекса Российской Федерации об административных правонарушениях, признав доказанным повторное нарушение установленного порядка технологического присоединения к электрическим сетям. Нарушений процедуры проведения проверки и привлечения к административной ответственности не выявлено. Доказательства, свидетельствующие о том, что общество предприняло все зависящие от него меры к выполнению требований действующего законодательства, либо о том, что невозможность принятия этих мер вызвана чрезвычайными или иными непреодолимыми обстоятельствами, в материалы дела не представлены и судами таких обстоятельств не установлено. 4 Доводы жалобы повторяют позицию общества по делу, являлись предметом рассмотрения судов и получили исчерпывающую правовую оценку,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