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31.08.2020, оставленным без изменения постановлением Девятого арбитражного апелляционного суда от 27.01.2021 и постановлением Арбитражного суда Московского округа от 25.05.2021, в удовлетворении заявления отказано. В кассационной жалобе инспекция просит о пересмотре судебных актов, ссылаясь на отсутствие надлежащей оценки правоотношений, деятельности общества в качестве агрегатора и соблюдению им требований закона.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законом на общество не возлагается требуемая инспекцией к вменению ему в судебном порядке обязанность по контролю за наличием разрешений у перевозчиков, которым общество на договорной основе передает заказы на таксомоторную перевозку. Из гражданско-правовых правоотношений по перевозке пассажиров, регулируемых Федеральным законом от 08.11.2007 № 259-ФЗ «Устав автомобильного транспорта и городского наземного электрического транспорта» и Правилами перевозок пассажиров и багажа автомобильным транспортом и городским наземным электрическим транспортом, названная обязанность не возникает. Статья 1065 Гражданского кодекса Российской Федерации применяется к правоотношениям с участием потенциального потерпевшего.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Московской административной дорожной инспекции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