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09.06.2020 заявленные требования удовлетворены. Решение суда не обжаловалось и вступило в законную силу. 2 Предприниматель обратился в суд первой инстанции с заявлением о взыскании с инспекции судебных расходов на оплату услуг представителя в сумме 97 980 рублей. Определением Арбитражного суда Белгородской области от 19.10.2020, оставленным без изменения постановлением Девятнадцатого арбитражного апелляционного суда от 26.01.2021 и постановлением Арбитражного суда Центрального округа от 19.05.2021, заявление удовлетворено частично, с инспекции в пользу заявителя взыскано 86 541 рубль судебных расходов. В удовлетворении остальной части заявления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3 сторон и принципа разумности, пришел к выводу о том, что судебные расходы являются обоснованными и подлежат возмещению в размере 86 541 рубля. Суды апелляционной инстанции и округа поддержали выводы суда первой инстанции. Доводы предпринимателя,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Малахову Владиславу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