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13.08.2021 направило в Верховный Суд Российской Федерации кассационную жалобу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Рассмотрев ходатайство о восстановлении срока, судья Верховного Суда Российской Федерации не находит оснований для его удовлетворения по следующим основаниям. В качестве причин пропуска срока заявитель сослался на неполучение копии постановления суда округа, а также на позднее размещение текста указанного судебного акта в информационном ресурсе «Картотека арбитражных дел». Между тем, как следует из информационного ресурса «Картотека арбитражных дел», постановление суда округа было опубликовано в общедоступной базе судебных актов в отведенный срок (20.05.2021), инициатором кассационного обжалования являлся сам заявитель. Заявитель знал о состоявшихся судебных актах, и, намереваясь их обжаловать, имел возможность в предусмотренный законодательством срок, в соответствии с установленными требованиями, сроками, принять своевременные меры, необходимые для подготовки и подачи кассационной жалобы. При этом арбитражным процессуальным законодательством предусмотрено исчисление срока на обжалование с момента вступления в законную силу последнего обжалуемого судебного акта, а не с момента его получения. Объективных и не зависящих от заявителя причин, препятствующих подать кассационную жалобу в установленный законом срок, не установлено. В соответствии с частью 2 статьи 9 указанного Кодекса лица, участвующие в деле, несут риск наступления последствий совершения или не совершения ими процессуальных действий.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3 В связи с изложенным ходатайство о восстановлении пропущенного процессуального срока подлежит оставлению без удовлетворения, а кассационная жалоба - возвращению заявителю.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Министерства энергетики и жилищно- коммунального хозяйства Тверской области о восстановлении пропущенного срока отказать, кассационную жалобу возвратить заявителю.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