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10.09.2020, оставленным без изменения постановлением Первого арбитражного 2 апелляционного суда от 18.12.2020, с предпринимателя в пользу управления взыскан штраф в размере 187, 92 рублей, в удовлетворении иска в остальной части отказано. Постановлением Арбитражного суда Волго-Вятского округа от 30.04.2021 указанные судебные акты оставлены без изменения. Управление обратилось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15, 309, 310, 393, 1082 Гражданского кодекса Российской Федерации, суды удовлетворили иск частично, отказали во взыскании убытков в размере стоимости утраченного имущества, признав, что в рассматриваемом случае данное требование не приведет к восстановлению прав управления с учетом предмета и условий контракта. Доводы жалобы получили исчерпывающую правовую оценку судов с учетом установленных обстоятельств и представленных доказательств,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