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09.11.2020 в иске отказано. Постановлением Двенадцатого арбитражного апелляционного суда от 29.01.2021 решение суда первой инстанции отменено, иск удовлетворен. 2 Постановлением Арбитражного суда Поволжского округа от 21.04.2021 постановление апелляционного суда оставлено без изменения. Учреждение обратилось в Верховный Суд Российской Федерации с кассационной жалобой на постановление апелляционного суда и постановление суда округа, ссылаясь на допущенные, по его мнению, существенные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Руководствуясь положениями статей 309, 310, 740, 746, 763 Гражданского кодекса Российской Федерации,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апелляционный суд отменил решение суда первой инстанции, иск удовлетворил, признав необоснованными действия заказчика по одностороннему отказу от исполнения контракта в отсутствие доказательств вины подрядчика в ненадлежащем исполнении обязательств. Доводы жалобы были предметом исследования судов и получили исчерпывающую правовую оценку с учетом установленных обстоятельств и представленных доказательств,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