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09.09.2020, оставленным без изменения постановлением Тринадцатого арбитражного апелляционного суда от 08.12.2020, иск удовлетворен. Арбитражный суд Северо-Западного округа постановлением от 22.04.2021 решение от 09.09.2020 и постановление Тринадцатого арбитражного апелляционного суда от 08.12.2020 оставил без изменения. В кассационной жалобе общество «Универсальный перегрузочный комплекс» просит об отмене судебных актов, ссылаясь на неосновательное включение в состав убытков платы за перевозку вагонов после ремонта.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оплату истцом ремонта поврежденных ответчиком вагонов, поэтому удовлетворили иск с соответствии со статьями 15, 1064 Гражданского кодекса Российской Федерации. Довод о составе убытков получил мотивированную оценку судов и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«Универсальный перегрузочный комплекс»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