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29.07.2020 иск удовлетворен. Девятнадцатый арбитражный апелляционный суд постановлением от 20.11.2020 изменил решение от 29.07.2020 и взыскал137 214 рублей 21 копейку убытков. Арбитражный суд Центрального округа постановлением от 22.04.2021 изменил постановление Девятнадцатого арбитражного апелляционного суда от 20.11.2020 и взыскал 274 428 рублей 43 копейки убытков. В кассационной жалобе общество «Альбатрос» просит об отмене постановления окружного суда, ссылаясь на наличие условия для уменьшения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отсутствие условий для применения статьи 404 Гражданского кодекса Российской Федерации, поэтому отменил постановление апелляционного суда в силу предоставленных статьями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«Альбатрос»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