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05.11.2020, оставленным без изменения постановлениями Девятого арбитражного апелляционного суда от 25.01.2021 и Арбитражного суда Московского округа от 14.05.2021, в удовлетворении иска отказано. В кассационной жалобе, поданной в Верховный Суд Российской Федерации, предприятие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предприятием и обществом заключен договор на выполнение работ по реконструкции дома, расположенного в Мексиканских Соединенных Штатах, г. Мехико. В обоснование иска предприятием указано, что обществом допущена просрочка исполнения обязательства по предоставлению банковской гарантии в качестве обеспечения исполнения обязательств. Оценив представленные в материалы дела доказательства, суды, руководствуясь положениями статей 309 , 310 , 330 Гражданского кодекса Российской Федерации, пришли к выводу об отсутствии оснований для взыскания заявленной неустойки. При исследовании обстоятельств дела установлено, что обществом предоставлена банковская гарантия при заключении договора; до момента получения письма банка общество не могло знать о том, что выданная им гарантия недействительна; оснований полагать, что данная гарантия не будет поставлена на баланс банком, у общества не имелось. Учитывая установленные обстоятельства, судебные инстанции не усмотрели факта нарушения обществом обязательств по предоставлению банковской гарантии. Доводы, изложенные в кассационной жалобе, не опровергают выводы судов,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«Предприятие по управлению собственностью за рубежом» Управления делами Президента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ФГУП "Предприятие по управлению собственностью за рубежом" Управления делами Президента Российской Федерации (подробнее) Ответчики: ООО "Международная Строительная Компания"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