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19.10.2020, оставленным без изменения постановлением Девятого арбитражного апелляционного суда от 11.03.2021, иск удовлетворен частично. Арбитражный суд Московского округа постановлением от 26.05.2021 решение и постановление апелляционного отменил, иск удовлетворил в полном объеме. В кассационной жалобе общество «Спецторг Плюс» просит об отмене судебных актов, ссылаясь на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Обстоятельства, составляющие необходимые в силу статей 15, 393 Гражданского кодекса Российской Федерации условия для взыскания убытков, установлены и их пересмотр не попадает под основания для изменения или отмены судебных актов в кассационном порядке. Действия судов, которые заявитель считает процессуальными нарушениями, таковыми не являются и не влекут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«Спецторг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