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20.11.2020, оставленным без изменения постановлениями Семнадцатого арбитражного апелляционного суда от 17.02.2021 и Арбитражного суда Уральского округа от 31.05.2021,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выполнения обществом требования выданного ранее предписания, министерством выдано предписание по устранению нарушений требований в области защиты населения и территорий от чрезвычайных ситуаций природного и техногенного характера. Предписанием министерства на общество возложена обязанность обеспечить сопряжение структурированной системы мониторинга и управления инженерными системами зданий и сооружений гидроэлектростанции с единой дежурно-диспетчерской службой города. Не согласившись с предписанием министерства, общество обратилось в арбитражный суд. Исследовав и оценив представленные в материалы дела доказательства, руководствуясь положениями Федерального закона от 21.12.1994 № 68-ФЗ «О защите населения и территорий от чрезвычайных ситуаций природного и техногенного характера», Федерального закона от 27.12.2002 № 184-ФЗ «О техническом регулировании», постановлением Правительства Российской Федерации от 16.02.2008 № 87 «О составе разделов проектной документации и требованиях к их содержанию», ГОСТ Р 22.1.12-2005 «Безопасность в чрезвычайных ситуациях. Структурированная система мониторинга и управления инженерными системами зданий и сооружений. Общие условия», принимая во внимание обстоятельства, установленные по результатам рассмотрения дела № А60-64004/2018, суды пришли к выводу об отсутствии оснований для удовлетворения заявленного требования. При этом судебные инстанции исходили из того, что существующая система мониторинга и управления инженерными системами зданий и сооружений Серовской ГРЭС не сопряжена с единой дежурно-диспетчерской службой города Серова, в связи с чем не обеспечивает надлежащий контроль основных дестабилизирующих факторов, что создает угрозу причинения вреда жизни или здоровью граждан. Суды указали, что общество обязано выполнять требования по защите населения и территорий от чрезвычайных ситуаций, в том числе по системе 3 связи и оповещения о чрезвычайных ситуациях на объектовом уровне единой системы. Доводы кассационной жалобы повторяют позицию общества по спору, являлись предметом рассмотрения судов и не опровергают их выводы, направлены на переоценку установленных обстоятельств по делу и не подтверждают существенных нарушений норм материального и (или) процессуального права, повлиявших на исход дела, в связи с чем, не являются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«Вторая генерирующая компания оптового рынка электроэнергии»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