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13.11.2020, оставленным без изменения постановлением Девятого арбитражного апелляционного суда от 18.02.2021 и постановлением Арбитражного суда Московского округа от 22.04.2021, иск удовлетворен. В кассационной жалобе общество «ДСВ Роуд» просит отменить судебные акты,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оказание услуг истцом во исполнение договора транспортной экспедиции от 02.12.2011 № 9949 и неоплату их ответчиком, поэтому удовлетворили иск в соответствии со статьями 330, 801 Гражданского кодекса Российской Федерации. Действия судов, которые заявитель считает процессуальными нарушениями, таковыми не являются и не влекут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«ДСВ Роуд»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