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30.09.2020, оставленным без изменения постановлением Десятого арбитражного апелляционного суда от 22.12.2020 и постановлением Арбитражного суда Московского округа от 23.04.2021, иск удовлетворен. В кассационной жалобе общество просит об отмене судебных актов, ссылаясь на недопустимость в качестве доказательств актов весового контроля, отсутствие у истца полномочий по взиманию платы в счет возмещения вреда, немотивированность судебных актов.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общества о пороках взвешивания в связи с отсутствием поверки весов в период составления актов весового контроля опровергнут ссылкой судов на свидетельство о поверке от 19.10.2018 № 7/8241. Суды установили нарушение обществом доведенных в публичном порядке ограничений в движении транспортных средств, введенных Республикой Башкортостан на находящихся в ее собственности дорогах, поэтому признали возникающими в силу пункта 7 статьи 12, пункта 1 статьи 13.1 Федерального закона от 08.11.2007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 полномочия истца на взыскание убытков, причиненных региональной и межмуниципальной дорогам. Возражения общества получили оценку судов.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«Мартин»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