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30.10.2020, оставленным без изменения постановлениями Девятого арбитражного апелляционного суда от 27.01.2021 и Арбитражного суда Московского округа от 18.05.2021, в удовлетворении заявленного требования отказано. В кассационной жалобе предприниматель ставит вопрос об отмене принятых по делу судебных актов в части отказа во взыскании судебных расходов на оплату услуг представителя в размере 200 000 рублей и расходов 2 по уплате государственной пошлины в размере 3 000 рублей,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проверки исполнения ранее выданного предписания инспекцией зафиксирован факт его невыполнения, выдано предписание от 27.03.2020 об устранении выявленных нарушений. Считая свои права нарушенными, предприниматель обратился в арбитражный суд с заявлением о признании предписания от 27.03.2020 недействительным, а также о взыскании судебных расходов на оплату услуг представителя в размере 200 000 рублей. Отказывая в удовлетворении заявления, суды, исследовав и оценив представленные в материалы дела доказательства, руководствуясь положениями Жилищного кодекса Российской Федерации, разъяснениями, изложенными в пункте 18 Информационного письма Президиума Высшего Арбитражного Суда Российской Федерации от 22.12.2005 № 99 «Об отдельных вопросах практики применения Арбитражного процессуального кодекса Российской Федерации», пришли к выводу об отсутствии нарушения прав и законных интересов предпринимателя. Разрешая вопрос о взыскании судебных расходов, суды установили, что оспариваемое предписание отменено инспекцией решением 18.06.2020, то есть до момента обращения заявителя в арбитражный суд (29.06.2020), в связи с чем не усмотрели оснований для возложения на инспекцию заявленных судебных расходов. При этом судебные инстанции признали недоказанным факт отмены оспариваемого предписания, ввиду подачи в суд заявления о признании его недействительным. Приведенные в кассационной жалобе доводы не свидетельствуют о неправильном применении судами норм материального и процессуального права, повлиявшем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Вайнману Константину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