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13.11.2020, оставленным без изменения постановлением Шестнадцатого арбитражного апелляционного суда от 03.03.2021, иск удовлетворен частично, с общества в пользу агентства взыскано 883 759,97 рублей, в том числе неосновательное 2 обогащение в размере 793 334 рублей и проценты за пользование чужими денежными средствами в размере 90 425,97 рублей, в удовлетворении остальной части иска отказано. Постановлением Арбитражного суда Северо-Кавказского округа от 01.06.2021 указанные судебные акты оставлены без изменения. Счетная палата, привлеченная к участию в деле в качестве третьего лица, не заявляющего самостоятельных требований относительно предмета спора, обратилась в Верховный Суд Российской Федерации с кассационной жалобой, считая состоявшиеся по делу судебные акты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309, 310, 743, 763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установив фактическую стоимость выполненных подрядчиком работ. 3 Доводы жалобы были предметом исследования судов и получили исчерпывающую правовую оценку исходя из установленных судами обстоятельств и представленных сторонами доказательств,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