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управляющий ФИО1 обратился в Верховный Суд Российской Федерации с кассационной жалобой на решение Арбитражного суда Московской области от 21.10.2020 по делу № А41-43952/2020, постановление Девятого арбитражного апелляционного суда от 10.12.2020 и постановление Арбитражного суда Московского округа от 08.04.2021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судья находит его подлежащим удовлетворению. Руководствуясь статьями 117 , 184 , 185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арбитражного управляющего ФИО1 о восстановлении пропущенного срока подачи кассационной жалобы удовлетворить. Срок подачи кассационной жалобы на решение Арбитражного суда Московской области от 21.10.2020 по делу № А41-43952/2020, постановление Девятого арбитражного апелляционного суда от 10.12.2020 и постановление Арбитражного суда Московского округа от 08.04.2021 по тому же делу восстановить. Судья Верховного Суда Российской Федерации А.Г. Першутов Суд: Верховный Суд РФ (подробнее) Истцы: Управление Федеральной службы государственной регистрации,кадастра и картографии по Московской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