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Мордовия от 13.07.2020 в удовлетворении заявленных требований отказано. Постановлением Первого арбитражного апелляционного суда от 25.12.2020 решение суда первой инстанции отменено в части отказа в 2 удовлетворении заявленных требований о признании недействительными решений налогового органа о доначислении страховых взносов, пеней, штрафов в отношении выплат, произведенным товариществом физическим лицам, решения налогового органа в данной части признаны недействительными, в остальной части решение суда первой инстанции оставлено без изменения. Постановлением Арбитражного суда Волго-Вятского округа от 13.04.2021 указанные судебные акты оставлены без изменения. Товарищество просит состоявшиеся по делу судебные акты отменить в части отказа в удовлетворении заявленных требований, считая их незаконными и необоснованными в указанной части.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419, 420 Налогового кодекса Российской Федерации, статей 135, 144, 145, 147, 149 Жилищного кодекса Российской Федерации, суды отказали в удовлетворении требований по спорному эпизоду, признав, что выплаты председателю правления за осуществление управленческих и контролирующих функций неправомерно не включены товариществом в базу для исчисления страховых взносов на обязательное пенсионное страхование. Доказательств того, что в момент вступления в полномочия председателя правления вознаграждение не гарантировано, товарищество не взяло на себя обязательств по его встречному предоставлению, в связи с чем выплату следует расценивать как единовременное поощрение, не представлено. При этом уплата страховых взносов на обязательное пенсионное страхование гарантирует застрахованным лицам включение периодов их деятельности в страховой стаж с последующим начислением страховой пенсии. 3 Выводы судов не противоречат правовой позиции, изложенной в Определении Конституционного Суда Российской Федерации от 06.06.2016 №1170-О. Приведенные в жалобе доводы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В соответствии со статьей 101 Федерального конституционного закона Российской Федерации от 21.07.1994 № 1-ФКЗ «О Конституционном Суде Российской Федерации» суд при рассмотрении дела в любой инстанции, придя к выводу о несоответствии Конституции Российской Федерации закона, примененного или подлежащего применению в указанном деле, обращается в Конституционный Суд Российской Федерации с запросом о проверке конституционности данного закона. В данном случае оснований для обращения с запросом в Конституционный Суд Российской Федерации не установлено.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