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25.11.2020 в удовлетворении иска отказано. Постановлением Девятого арбитражного апелляционного суда от 05.02.2021 решение суда первой инстанции отменено, исковые требования удовлетворены. Арбитражный суд Московского округа постановлением от 27.05.2021 постановление суда апелляционной инстанции оставил без изменения. В кассационной жалобе, поданной в Верховный Суд Российской Федерации, департамент, ссылаясь на существенные нарушения судами норм материального и процессуального права, просит отменить постановления судов 2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департаментом (государственный заказчик) и обществом (генеральный подрядчик) заключен государственный контракт на выполнение подрядных работ по строительству объекта капитального строительства. В обоснование иска общество указало, что департаментом неправомерно удерживается 5 % от стоимости выполненных работ после прекращения действия контракта. Суд первой инстанции, установив, что на генерального подрядчика возложена обязанность по передаче документации при досрочном расторжении или прекращении контракта, при этом в момент подписания актов приемки выполненных работ исполнительная документация на выполненные работы не передавалась в адрес департамента, пришел к выводу об отсутствии оснований для удовлетворения иска.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309, 310, 330, 395, 422, 431, 1102 Гражданского кодекса Российской Федерации, разъяснениями, изложенными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принимая во внимание обстоятельства, установленные по результатам рассмотрения дела № А40-308832/2019, пришел к выводу о правомерности заявленных исковых требований, с чем согласился суд округа. Суд апелляционной инстанции исходил из того, что подписание актов приемки выполненных работ свидетельствует об исполнении обществом обязательств по контракту. При исследовании обстоятельств дела установлено, что 5 % удержание по условиям контракта не является гарантийным, не обеспечивает качество 3 выполненных работ, а представляет собой соглашение сторон о порядке расчетов после строительства объекта; после прекращения действия контракта условие об удержании прекратило свое действие по причине невозможности подписания сторонами акта приемки законченного строительством объекта; возврат удержания не ставится в зависимость от выполнения генеральным подрядчиком обязанностей по передаче государственному заказчику проектной, исполнительной документации и других документов, полученных в ходе исполнения обязательств по контракту; обязанность по передаче документации государственному заказчику возложена на технического заказчика. Обстоятельства данного спора и представленные доказательства были предметом рассмотрения и оценки судов. Доводы департамента,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строительства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