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08.12.2020, оставленным без изменения постановлением Семнадцатого арбитражного апелляционного суда от 12.02.2021, иск удовлетворен. Постановлением Арбитражного суда Уральского округа от 14.05.2021 указанные судебные акты оставлены без изменения. 2 Банк обратился в Верховный Суд Российской Федерации с кассационной жалобой на состоявшиеся по делу судебные акты,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статьями 845, 851, 854, 859, 1102, 1105 Гражданского кодекса Российской Федерации, Федеральным законом от 02.12.1990 № 395-1 «О банках и банковской деятельности», суды удовлетворили иск, признав, что действия клиента по закрытию счета и даче указания о перечислении остатка денежных средств на другой счет основаны на статье 859 Гражданского кодекса Российской Федерации, экономическое обоснование взимание комиссии в спорном размере банк не доказал. Указанные выводы судов в жалобе не опровергнуты. Ссылка в жалобе на нормы гражданского законодательства, регулирующие отношения между банком и клиентом по договору банковского счета, сама по себе, с учетом установленных судами обстоятельств, не опровергает вывод относительно спорного условия как ухудшающего 3 положение истца и обеспечивающего получение ответчиком необоснованного преимущества. При указанных обстоятельствах доводы жалобы не являются достаточными для пересмотра обжалуемых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