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06.08.2020, оставленным без изменения постановлением Тринадцатого арбитражного апелляционного суда от 19.12.2020, в удовлетворении заявленных требований отказано. Постановлением Арбитражного суда Северо-Западного округа от 19.04.2021 указанные судебные акты оставлены без изменения. ФИО1 обратилась в Верховный Суд Российской Федерации с кассационной жалобой, в которой просит состоявшиеся по делу судебные акта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об отсутствии у административного органа достаточных оснований для возбуждения дела об административном правонарушении, не выявив недобросовестного поведения общества «Первое коллекторское бюро» при осуществлении взаимодействия с заявителем. Несогласие заявителя с указанными выводами судов само по себе не может быть признано основанием для пересмотра обжалуемых судебных актов в кассационном порядке. Кроме того,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Заместитель начальника отдела ведения государственного реестра и контроля за деятельностью юридических лиц Управления Федеральной службы судебных приставов России по Санкт-Петербургу А.В.Дронова (подробнее) зам.н. УФССП А.В.Дронова (подробнее) Иные лица: Управление Федеральной службы судебных приставов по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