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12.10.2020, оставленным без изменения постановлением Девятнадцатого арбитражного апелляционного суда от 23.12.2020, заявленные требования удовлетворены. Постановлением Арбитражного суда Центрального округа от 22.04.2021 указанные судебные акты оставлены без изменения. Антимонопольный орган обратился в Верховный Суд Российской Федерации с кассационной жалобой на принятые по делу судебные акты,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Судами снижен размера штрафа с учетом наличия смягчающих ответственность обстоятельств. Доводы антимонопольного органа относительно перечня смягчающих обстоятельств, подлежащих учету при решении вопроса о привлечении к административной ответственности за нарушения антимонопольного законодательства, противоречат общим принципам привлечения к административной ответственности, и означают невозможность осуществить дифференциацию административной ответственности за нарушение антимонопольного законодательства в зависимости от тяжести содеянного, размера и характера причиненного ущерба, степени вины правонарушителя и иных существенных обстоятельств. Снижая размер административного штрафа, суды не вышли за пределы минимального размера штрафа, исчисленного расчетным путем в соответствии с требованиями действующего законодательства. При этом общественная опасность правонарушений в сфере антимонопольного законодательства сама по себе не может являться достаточным основанием для отступления от конституционных принципов применения административной ответственности. Иных доводов, в том числе относительно механизма определения размера штрафа, в жалобе не приведено. При указанных обстоятельствах доводы жалобы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"Экопол" (подробнее) Ответчики: Федеральная антимонопольная служба России (подробнее) Иные лица: Арбитражный суд Центрального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