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16.07.2021 № 309-ЭС20-10390 (3,4) кассационные жалобы заявителей с делом переданы для рассмотрения в судебном заседании Судебной коллегии по экономическим спорам Верховного Суда Российской Федерации. При изготовлении данного определения в его вводной и описательной частях допущены опечатки, а именно: вместо «постановление Семнадцатого арбитражного апелляционного суда от 27.11.2020» указано «постановление Восемнадцатого арбитражного апелляционного суда от 27.11.2020». В соответствии с частью 3 статьи 179, статьёй 184 Арбитражного процессуального кодекса Российской Федерации эти опечатки подлежат исправлению. Руководствуясь статьями 179,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исправления в текст определения Верховного Суда Российской Федерации от 16.07.2021 № 309-ЭС20-10390 (3,4). Вместо «постановление Восемнадцатого арбитражного апелляционного суда от 27.11.2020» читать «постановление Семнадцатого арбитражного апелляционного суда от 27.11.2020».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