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Арбитражный суд Свердловской области решением от 30.12.2020, оставленным без изменения постановлением Семнадцатого арбитражного апелляционного суда от 23.03.2021, удовлетворил иск в части взыскания 300 000 рублей убытков вследствие утраты груза. Арбитражный суд Уральского округа постановлением от 27.05.2021 решение от 30.12.2020 и постановление Семнадцатого арбитражного апелляционного суда от 23.03.2021 оставил без изменения. В кассационной жалобе общество «Техномаш» просит об отмене судебных актов, ссылаясь на неправильное толкование договора в отношении пределов ответственности перевозчика, неосновательные отклонение 2 ходатайства об истребовании доказательств и отказ во взыскании упущенной выгоды.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Согласно пункту 2 статьи 796 Гражданского кодекса Российской Федерации и пункту 7 статьи 34 Федерального закона от 08.11.2007 № 259-ФЗ «Устав автомобильного транспорта и городского наземного электрического транспорта» в случае утраты груза ущерб, причиненный при его перевозке, возмещается перевозчиком в размере стоимости этого груза. Стоимость груза определяется исходя из цены груза, указанной в счете продавца или предусмотренной договором. Суды установили убытки равными объявленной стоимости груза в соответствии с условиями договора от 27.06.2019 № 27062019. Доводы о неистребовании доказательств и подтверждении упущенной выгоды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«Техномаш»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