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в реестр требований кредиторов должника (далее – реестр) требования в размере 471 947 730 рублей 15 копеек. Определением Арбитражного суда города Санкт-Петербурга и Ленинградской области от 11.08.2020 заявление удовлетворено. Постановлением Тринадцатого арбитражного апелляционного суда от 19.01.2021, оставленным без изменения постановлением Арбитражного суда Северо-Западного округа от 27.04.2021,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руководствовались статьями 363, 807 Гражданского кодекса Российской Федерации, статьями 19, 71, 100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утверждённым Президиумом Верховного Суда РФ 29.01.2020 и не установили законных оснований для включения заявленного обществом требования в реестр как носящего корпоративный характер и не способного конкурировать с требованиями иных независимых кредиторов.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«Сити Инвест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