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Волгоградской области определением от 01.12.2020, оставленным без изменения постановлением Девятнадцатого арбитражного апелляционного суда от 09.02.2021 и постановлением Арбитражного суда Поволжского округа от 21.05.2021, удовлетворил ходатайство финансового управляющего об исключении имущества (три единицы оружия) из конкурсной массы. В кассационной жалобе Демидов И.В. просит об отмене судебных актов, ссылаясь на ненадлежащее исследование судами непригодности и невозможности реализации спорного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Удовлетворяя заявление финансового управляющего об исключении из конкурсной массы должника спорного имущества, суды руководствовались пунктами 2, 3 статьи 213.25 Федерального закона от 26.10.2002 № 127-ФЗ «О несостоятельности (банкротстве)» и установленным прекращением на основании вступившего в силу судебного акта права собственности должника на спорное имущество (три единицы оружия). Доводы жалобы не составляют оснований для пересмотра судебных актов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Демидову И.В.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