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12.10.2020, оставленным без изменения постановлением Восемнадцатого арбитражного апелляционного суда от 18.01.2021 и постановлением Арбитражного суда Уральского округа от 20.04.2021, заявление общества о взыскании 60 000 рублей судебных расходов удовлетворено на сумму в 25 000 рублей. В кассационной жалобе предприниматель просит об отмене судебных актов, ссылаясь на игнорирование судами условий для отнесения расходов на общество.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Применение последствий, предусмотренных статьей 111 Арбитражного процессуального кодекса Российской Федерации, относится к компетенции суда, рассматривающего заявление о судебных издержках, основания для пересмотра которой на стадии кассационного производства отсутствуют.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Тимко Владимиру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