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17.11.2020, оставленным без изменения постановлением Тринадцатого арбитражного апелляционного суда от 05.02.2021 и постановлением Арбитражного суда Северо-Западного округа от 22.04.2021, заявление третьего лица о взыскании с истца судебных расходов удовлетворено. В кассационной жалобе общество «Обувная фабрика «Буревестник» просит о пересмотре судебных актов, ссылаясь на то, что судебные акты приняты не в защиту третьего лица и не при его активной позиции.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(пункт 6),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«Обувная фабрика «Буревестник»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