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Рязанской области решением от 16.11.2020, оставленным без изменения постановлением Двадцатого арбитражного апелляционного суда от 27.01.2021, взыскал 3 501 000 рублей задолженности по договору, по требованию о взыскании процентов за пользование чужими денежными средствами производство прекратил в связи с отказом от него истца. Арбитражный суд Центрального округа постановлением от 27.04.2021 решение от 16.11.2020 и постановление Двадцатого арбитражного апелляционного суда от 27.01.2021 оставил без изменения. В кассационной жалобе общество «Жилпромсервис» просит об отмене судебных актов, ссылаясь на принятие недопустимых доказательств наличия задолженности.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задолженности за оказанные услуги по договору перевозки груза 28.08.2018 № 125Л/2018 и удовлетворили иск в соответствии со статьями 781, 784, 785, 790 Гражданского кодекса Российской Федерации.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«Жилпромсервис»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