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суд Республики Хакассия определением от 29.12.2020 удовлетворил заявление в части включения в третью очередь реестра требования в размере 1 951 666 рублей 61 копейки, прекратив производство в части взыскания остальной суммы задолженности. Третий арбитражный апелляционный суд постановлением от 17.02.2021 определение от 29.12.2020 оставил без изменения. Арбитражный суд Восточно-Сибирского округа постановлением от 24.05.2021 определение от 29.12.2020 и постановление Третьего арбитражного апелляционного суда от 17.02.2021 оставил без изменения. В кассационной жалобе Петрошенко Е.Г. просит об отмене судебных актов, ссылаясь на неисследование доводов кредитора и финансового управляющего об обстоятельствах образования задолженности.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Доводы об аффилированности должника и заявителя, злоупотреблении ими правами в качестве понижающих очередность заявленного к включению в реестр требования рассмотрены судами. Иная оценка кредитором последствий названных обстоятельств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Петрошенко Е.Г.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